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B9" w:rsidRPr="00B7196B" w:rsidRDefault="00C050B9" w:rsidP="002F73C7">
      <w:pPr>
        <w:spacing w:before="120" w:after="120"/>
        <w:rPr>
          <w:b/>
        </w:rPr>
      </w:pPr>
      <w:r w:rsidRPr="00B7196B">
        <w:rPr>
          <w:b/>
        </w:rPr>
        <w:t>ПОСЛЕДСТВИЯ ВЫВОДА ИЗ СТРОЯ ПРИБОРОВ УЧЕТА</w:t>
      </w:r>
    </w:p>
    <w:p w:rsidR="00547EAD" w:rsidRDefault="0080148E" w:rsidP="002F73C7">
      <w:pPr>
        <w:spacing w:before="120" w:after="120"/>
      </w:pPr>
      <w:r>
        <w:t xml:space="preserve">В соответствии с п.2 </w:t>
      </w:r>
      <w:r w:rsidRPr="0080148E">
        <w:t>Основны</w:t>
      </w:r>
      <w:r>
        <w:t>х</w:t>
      </w:r>
      <w:r w:rsidRPr="0080148E">
        <w:t xml:space="preserve"> положени</w:t>
      </w:r>
      <w:r>
        <w:t>й</w:t>
      </w:r>
      <w:r w:rsidRPr="0080148E">
        <w:t xml:space="preserve"> функционирования розничных рынков электрической энергии, утвержденны</w:t>
      </w:r>
      <w:r w:rsidR="006934E0">
        <w:t>х</w:t>
      </w:r>
      <w:r w:rsidRPr="0080148E">
        <w:t xml:space="preserve"> Постановлением Правительства РФ от 04.05.2012 №442</w:t>
      </w:r>
      <w:r>
        <w:t xml:space="preserve"> (далее – Основные положения), вмешательств</w:t>
      </w:r>
      <w:r w:rsidR="00547EAD">
        <w:t>о</w:t>
      </w:r>
      <w:r>
        <w:t xml:space="preserve"> в работу </w:t>
      </w:r>
      <w:r w:rsidR="00547EAD">
        <w:t>прибора учета является безучетным потреблением электрической энергии:</w:t>
      </w:r>
    </w:p>
    <w:p w:rsidR="00547EAD" w:rsidRPr="001B6945" w:rsidRDefault="00547EAD" w:rsidP="002F73C7">
      <w:pPr>
        <w:spacing w:before="120" w:after="120"/>
      </w:pPr>
      <w:r w:rsidRPr="001B6945">
        <w:t>"безучетное потребление" - потребление электрической энергии с нарушением установленного договором энергоснабжения (купли-продажи (поставки) электрической энергии (мощности), оказания услуг по передаче электрической энергии) и настоящим документом порядка учета электрической энергии со стороны потребителя (покупателя), выразившимся во 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 (далее - измерительные трансформаторы), системы учета, компонентов интеллектуальной системы учета 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</w:t>
      </w:r>
      <w:bookmarkStart w:id="0" w:name="_GoBack"/>
      <w:bookmarkEnd w:id="0"/>
      <w:r w:rsidRPr="001B6945">
        <w:t xml:space="preserve">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 настоящим документом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(покупателя) и (или)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(далее - границы земельного участка)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потребителя (покупателя), а также с нарушением указанного порядка, обнаруженным в границах балансовой принадлежности потребителя (покупателя) подключения энергопринимающих устройств до точки измерения прибором учета или в границах земельного участка потребителя (покупателя) подключения до точки измерения прибором учета энергопринимающих устройств, расположенных в границах этого земельного участка.</w:t>
      </w:r>
    </w:p>
    <w:p w:rsidR="00547EAD" w:rsidRDefault="00547EAD" w:rsidP="002F73C7">
      <w:pPr>
        <w:spacing w:before="120" w:after="120"/>
      </w:pPr>
      <w:r>
        <w:t>В случае безучетного потребления электрической энергии для потребителя возникают неблагоприятные последствия, выражающиеся в том, что расчет объема потребленной электрической энергии будет осуществляться не по показаниям прибора учета, а в соответствии с</w:t>
      </w:r>
      <w:r w:rsidR="001B6945">
        <w:t xml:space="preserve"> одним из следующих </w:t>
      </w:r>
      <w:r w:rsidR="00CB19BE">
        <w:t>способ</w:t>
      </w:r>
      <w:r w:rsidR="001B6945">
        <w:t>ов</w:t>
      </w:r>
      <w:r w:rsidR="00467030">
        <w:t xml:space="preserve"> в зависимости от категории потребителя</w:t>
      </w:r>
      <w:r w:rsidR="00CB19BE">
        <w:t>:</w:t>
      </w:r>
    </w:p>
    <w:p w:rsidR="00CB19BE" w:rsidRDefault="004011CB" w:rsidP="002F73C7">
      <w:pPr>
        <w:spacing w:before="120" w:after="120"/>
      </w:pPr>
      <w:r>
        <w:rPr>
          <w:b/>
        </w:rPr>
        <w:t>П</w:t>
      </w:r>
      <w:r w:rsidR="00B7196B" w:rsidRPr="00B7196B">
        <w:rPr>
          <w:b/>
        </w:rPr>
        <w:t>отребители</w:t>
      </w:r>
      <w:r>
        <w:rPr>
          <w:b/>
        </w:rPr>
        <w:t xml:space="preserve"> за исключением населения и приравненных к нему категорий</w:t>
      </w:r>
      <w:r w:rsidR="00B7196B">
        <w:t>:</w:t>
      </w:r>
    </w:p>
    <w:p w:rsidR="00781937" w:rsidRDefault="00781937" w:rsidP="002F73C7">
      <w:pPr>
        <w:spacing w:before="120" w:after="120"/>
      </w:pPr>
      <w:r>
        <w:t>(п. 187 Основных положений, подпункты 1а, 1б Приложения №3 к Основным положениям)</w:t>
      </w:r>
    </w:p>
    <w:p w:rsidR="009106D4" w:rsidRDefault="009106D4" w:rsidP="002F73C7">
      <w:pPr>
        <w:spacing w:before="120" w:after="120"/>
      </w:pPr>
      <w:r w:rsidRPr="009106D4">
        <w:t xml:space="preserve">а) объем потребления электрической энергии (мощности) в соответствующей точке поставки, </w:t>
      </w:r>
      <w:proofErr w:type="spellStart"/>
      <w:r w:rsidRPr="009106D4">
        <w:t>МВтч</w:t>
      </w:r>
      <w:proofErr w:type="spellEnd"/>
      <w:r w:rsidRPr="009106D4">
        <w:t>, определяется:</w:t>
      </w:r>
    </w:p>
    <w:p w:rsidR="001B6945" w:rsidRDefault="001B6945" w:rsidP="002F73C7">
      <w:pPr>
        <w:spacing w:before="120" w:after="120"/>
      </w:pPr>
      <w:r>
        <w:t xml:space="preserve">если в договоре, обеспечивающем продажу электрической энергии (мощности) на розничном рынке, имеются данные о величине максимальной мощности энергопринимающих устройств в соответствующей точке поставки, за исключением случая, </w:t>
      </w:r>
      <w:r w:rsidRPr="001B6945">
        <w:t>если при выявлении безучетного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договоре</w:t>
      </w:r>
      <w:r>
        <w:t>, по формуле:</w:t>
      </w:r>
    </w:p>
    <w:p w:rsidR="001B6945" w:rsidRDefault="001B6945" w:rsidP="002F73C7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767715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>,</w:t>
      </w:r>
    </w:p>
    <w:p w:rsidR="001B6945" w:rsidRDefault="001B6945" w:rsidP="002F73C7">
      <w:pPr>
        <w:spacing w:before="120" w:after="120"/>
      </w:pPr>
      <w:r>
        <w:rPr>
          <w:rFonts w:ascii="Calibri" w:hAnsi="Calibri" w:cs="Calibri"/>
          <w:sz w:val="24"/>
          <w:szCs w:val="24"/>
        </w:rPr>
        <w:t>где:</w:t>
      </w:r>
    </w:p>
    <w:p w:rsidR="001B6945" w:rsidRDefault="001B6945" w:rsidP="002F73C7">
      <w:pPr>
        <w:spacing w:before="120" w:after="120"/>
      </w:pPr>
      <w:proofErr w:type="spellStart"/>
      <w:r>
        <w:t>Pмакс</w:t>
      </w:r>
      <w:proofErr w:type="spellEnd"/>
      <w:r>
        <w:t xml:space="preserve"> - максимальная мощность энергопринимающих устройств, относящаяся к соответствующей точке поставки, а в случае, если в договоре, обеспечивающем продажу электрической энергии (мощности) на розничном рынке, не предусмотрено распределение максимальной мощности по точкам поставки,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(кабеля), МВт;</w:t>
      </w:r>
    </w:p>
    <w:p w:rsidR="001B6945" w:rsidRDefault="001B6945" w:rsidP="002F73C7">
      <w:pPr>
        <w:spacing w:before="120" w:after="120"/>
      </w:pPr>
      <w:r>
        <w:t>T - количество часов в расчетном периоде, используемое при расчете безучетного потребления, но не более 4380 часов.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(или) количества часов использования им электрической энергии (мощности);</w:t>
      </w:r>
    </w:p>
    <w:p w:rsidR="001B6945" w:rsidRPr="001B6945" w:rsidRDefault="001B6945" w:rsidP="002F73C7">
      <w:pPr>
        <w:spacing w:before="120" w:after="120"/>
      </w:pPr>
      <w:r>
        <w:t>если в договоре, обеспечивающем продажу электрической энергии (мощности) на розничном рынке,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договоре, обеспечивающем продажу электрической энергии (</w:t>
      </w:r>
      <w:r w:rsidRPr="001B6945">
        <w:t>мощности) на розничном рынке, по формулам:</w:t>
      </w:r>
    </w:p>
    <w:p w:rsidR="001B6945" w:rsidRPr="001B6945" w:rsidRDefault="001B6945" w:rsidP="002F73C7">
      <w:pPr>
        <w:spacing w:before="120" w:after="120"/>
      </w:pPr>
      <w:r w:rsidRPr="001B6945">
        <w:t>для однофазного ввода:</w:t>
      </w:r>
    </w:p>
    <w:p w:rsidR="001B6945" w:rsidRPr="001B6945" w:rsidRDefault="001B6945" w:rsidP="002F73C7">
      <w:pPr>
        <w:spacing w:before="120" w:after="120"/>
      </w:pPr>
      <w:r w:rsidRPr="001B6945">
        <w:rPr>
          <w:rFonts w:ascii="Calibri" w:hAnsi="Calibri" w:cs="Calibri"/>
          <w:noProof/>
          <w:position w:val="-25"/>
          <w:lang w:eastAsia="ru-RU"/>
        </w:rPr>
        <w:drawing>
          <wp:inline distT="0" distB="0" distL="0" distR="0">
            <wp:extent cx="185483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945">
        <w:t>,</w:t>
      </w:r>
    </w:p>
    <w:p w:rsidR="001B6945" w:rsidRPr="001B6945" w:rsidRDefault="001B6945" w:rsidP="002F73C7">
      <w:pPr>
        <w:spacing w:before="120" w:after="120"/>
      </w:pPr>
      <w:r w:rsidRPr="001B6945">
        <w:t>для трехфазного ввода:</w:t>
      </w:r>
    </w:p>
    <w:p w:rsidR="001B6945" w:rsidRPr="001B6945" w:rsidRDefault="001B6945" w:rsidP="002F73C7">
      <w:pPr>
        <w:spacing w:before="120" w:after="120"/>
      </w:pPr>
      <w:r w:rsidRPr="001B6945">
        <w:rPr>
          <w:rFonts w:ascii="Calibri" w:hAnsi="Calibri" w:cs="Calibri"/>
          <w:noProof/>
          <w:position w:val="-25"/>
          <w:lang w:eastAsia="ru-RU"/>
        </w:rPr>
        <w:drawing>
          <wp:inline distT="0" distB="0" distL="0" distR="0">
            <wp:extent cx="20097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945">
        <w:rPr>
          <w:rFonts w:ascii="Calibri" w:hAnsi="Calibri" w:cs="Calibri"/>
        </w:rPr>
        <w:t>,</w:t>
      </w:r>
    </w:p>
    <w:p w:rsidR="001B6945" w:rsidRDefault="001B6945" w:rsidP="002F73C7">
      <w:pPr>
        <w:spacing w:before="120" w:after="120"/>
      </w:pPr>
      <w:r>
        <w:t>где:</w:t>
      </w:r>
    </w:p>
    <w:p w:rsidR="001B6945" w:rsidRDefault="001B6945" w:rsidP="002F73C7">
      <w:pPr>
        <w:spacing w:before="120" w:after="120"/>
      </w:pPr>
      <w:proofErr w:type="spellStart"/>
      <w:r>
        <w:t>Iдоп.дл</w:t>
      </w:r>
      <w:proofErr w:type="spellEnd"/>
      <w:r>
        <w:t xml:space="preserve">. - допустимая длительная токовая нагрузка вводного провода (кабеля), </w:t>
      </w:r>
      <w:proofErr w:type="gramStart"/>
      <w:r>
        <w:t>А</w:t>
      </w:r>
      <w:proofErr w:type="gramEnd"/>
      <w:r>
        <w:t>;</w:t>
      </w:r>
    </w:p>
    <w:p w:rsidR="001B6945" w:rsidRDefault="001B6945" w:rsidP="002F73C7">
      <w:pPr>
        <w:spacing w:before="120" w:after="120"/>
      </w:pPr>
      <w:proofErr w:type="spellStart"/>
      <w:r>
        <w:t>U</w:t>
      </w:r>
      <w:proofErr w:type="gramStart"/>
      <w:r>
        <w:t>ф.ном</w:t>
      </w:r>
      <w:proofErr w:type="spellEnd"/>
      <w:proofErr w:type="gramEnd"/>
      <w:r>
        <w:t>. - номинальное фазное напряжение, кВ;</w:t>
      </w:r>
    </w:p>
    <w:p w:rsidR="001B6945" w:rsidRDefault="001B6945" w:rsidP="002F73C7">
      <w:pPr>
        <w:spacing w:before="120" w:after="120"/>
      </w:pPr>
      <w:r>
        <w:t xml:space="preserve"> - коэффициент мощности при максимуме нагрузки. При отсутствии данных в договоре коэффициент принимается равным 0,9;</w:t>
      </w:r>
    </w:p>
    <w:p w:rsidR="001B6945" w:rsidRDefault="001B6945" w:rsidP="002F73C7">
      <w:pPr>
        <w:spacing w:before="120" w:after="120"/>
      </w:pPr>
      <w:r>
        <w:t xml:space="preserve">б) почасовые объемы потребления электрической энергии в соответствующей точке поставки, </w:t>
      </w:r>
      <w:proofErr w:type="spellStart"/>
      <w:r>
        <w:t>МВтч</w:t>
      </w:r>
      <w:proofErr w:type="spellEnd"/>
      <w:r>
        <w:t>, определяются по формуле:</w:t>
      </w:r>
    </w:p>
    <w:p w:rsidR="001B6945" w:rsidRDefault="001B6945" w:rsidP="002F73C7">
      <w:pPr>
        <w:spacing w:before="120" w:after="120"/>
      </w:pPr>
      <w:r>
        <w:t>(в ред. Постановления Правительства РФ от 23.01.2015 N 47)</w:t>
      </w:r>
    </w:p>
    <w:p w:rsidR="001B6945" w:rsidRDefault="00781937" w:rsidP="002F73C7">
      <w:pPr>
        <w:spacing w:before="120" w:after="120"/>
      </w:pPr>
      <w:r w:rsidRPr="00781937">
        <w:rPr>
          <w:rFonts w:ascii="Calibri" w:hAnsi="Calibri" w:cs="Calibri"/>
          <w:noProof/>
          <w:position w:val="-22"/>
          <w:lang w:eastAsia="ru-RU"/>
        </w:rPr>
        <w:drawing>
          <wp:inline distT="0" distB="0" distL="0" distR="0">
            <wp:extent cx="629920" cy="4311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>,</w:t>
      </w:r>
    </w:p>
    <w:p w:rsidR="001B6945" w:rsidRDefault="001B6945" w:rsidP="002F73C7">
      <w:pPr>
        <w:spacing w:before="120" w:after="120"/>
      </w:pPr>
      <w:r>
        <w:t xml:space="preserve">где W - объем потребления электрической энергии в соответствующей точке поставки, определенный в соответствии с подпунктом "а" настоящего пункта, </w:t>
      </w:r>
      <w:proofErr w:type="spellStart"/>
      <w:r>
        <w:t>МВт·ч</w:t>
      </w:r>
      <w:proofErr w:type="spellEnd"/>
      <w:r>
        <w:t>.</w:t>
      </w:r>
    </w:p>
    <w:p w:rsidR="005960B4" w:rsidRDefault="005960B4" w:rsidP="002F73C7">
      <w:pPr>
        <w:spacing w:before="120" w:after="120"/>
      </w:pPr>
      <w:r w:rsidRPr="005960B4">
        <w:t xml:space="preserve">Объем безучетного потребления определяется с даты предыдущей проверки прибора учета (в случае если такая проверка не была проведена в запланированные сроки, - определяется с даты, не позднее которой она должна была быть проведена в соответствии с настоящим документом) </w:t>
      </w:r>
      <w:r w:rsidRPr="005960B4">
        <w:lastRenderedPageBreak/>
        <w:t>до даты выявления факта безучетного потребления и составления акта о неучтенном потреблении электрической энергии.</w:t>
      </w:r>
    </w:p>
    <w:p w:rsidR="00781937" w:rsidRDefault="00467030" w:rsidP="002F73C7">
      <w:pPr>
        <w:spacing w:before="120" w:after="120"/>
        <w:rPr>
          <w:b/>
        </w:rPr>
      </w:pPr>
      <w:r>
        <w:rPr>
          <w:b/>
        </w:rPr>
        <w:t>Приравненные к населению категории потребителей:</w:t>
      </w:r>
    </w:p>
    <w:p w:rsidR="009106D4" w:rsidRDefault="009106D4" w:rsidP="002F73C7">
      <w:pPr>
        <w:spacing w:before="120" w:after="120"/>
      </w:pPr>
      <w:r w:rsidRPr="009106D4">
        <w:t>(</w:t>
      </w:r>
      <w:r>
        <w:t>п. 187 Основных положений, потребители, соответствующие Перечню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утвержденным Постановление Правительства РФ от 29.12.2011 №1178)</w:t>
      </w:r>
    </w:p>
    <w:p w:rsidR="009106D4" w:rsidRDefault="00842705" w:rsidP="002F73C7">
      <w:pPr>
        <w:spacing w:before="120" w:after="120"/>
      </w:pPr>
      <w:r w:rsidRPr="00842705">
        <w:t>Объем безучетного потребления в отношении приравненных к населению категорий потребителей</w:t>
      </w:r>
      <w:r w:rsidR="00AC68EF">
        <w:t xml:space="preserve"> (</w:t>
      </w:r>
      <w:r w:rsidR="00AC68EF" w:rsidRPr="00842705">
        <w:t xml:space="preserve">за исключением </w:t>
      </w:r>
      <w:r w:rsidR="00AC68EF">
        <w:t>и</w:t>
      </w:r>
      <w:r w:rsidR="00AC68EF" w:rsidRPr="00842705">
        <w:t>сполнител</w:t>
      </w:r>
      <w:r w:rsidR="00AC68EF">
        <w:t>ей</w:t>
      </w:r>
      <w:r w:rsidR="00AC68EF" w:rsidRPr="00842705">
        <w:t xml:space="preserve"> коммунальной услуги в лице управляющей организации, товарищества собственников жилья, жилищного, жилищно-строительного или иного специализированного потребительского кооператива в целях оказания потребителям коммунальной услуги</w:t>
      </w:r>
      <w:r w:rsidR="00AC68EF">
        <w:t xml:space="preserve">) </w:t>
      </w:r>
      <w:r w:rsidRPr="00842705">
        <w:t>определяется исходя из объема,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10, а при отсутствии указанных показаний - на основании показаний расчетного прибора учета за ближайший расчетный период, когда такие показания были представлены, с применен</w:t>
      </w:r>
      <w:r w:rsidR="00AC68EF">
        <w:t>ием повышающего коэффициента 10.</w:t>
      </w:r>
    </w:p>
    <w:p w:rsidR="005960B4" w:rsidRDefault="005960B4" w:rsidP="002F73C7">
      <w:pPr>
        <w:spacing w:before="120" w:after="120"/>
      </w:pPr>
      <w:r w:rsidRPr="005960B4">
        <w:t>Объем безучетного потребления определяется с даты предыдущей проверки прибора учета (в случае если такая проверка не была проведена в запланированные сроки, - определяется с даты, не позднее которой она должна была быть проведена в соответствии с настоящим документом) до даты выявления факта безучетного потребления и составления акта о неучтенном потреблении электрической энергии.</w:t>
      </w:r>
    </w:p>
    <w:p w:rsidR="006934E0" w:rsidRPr="00965BED" w:rsidRDefault="006934E0" w:rsidP="002F73C7">
      <w:pPr>
        <w:spacing w:before="120" w:after="120"/>
        <w:rPr>
          <w:b/>
        </w:rPr>
      </w:pPr>
      <w:r w:rsidRPr="00965BED">
        <w:rPr>
          <w:b/>
        </w:rPr>
        <w:t>Население:</w:t>
      </w:r>
    </w:p>
    <w:p w:rsidR="006934E0" w:rsidRDefault="006934E0" w:rsidP="002F73C7">
      <w:pPr>
        <w:spacing w:before="120" w:after="120"/>
      </w:pPr>
      <w:r>
        <w:t xml:space="preserve">(п. 81(11) </w:t>
      </w:r>
      <w:r w:rsidRPr="006934E0">
        <w:t>Правил предоставления коммунальных услуг собственникам и пользователям помещений в мног</w:t>
      </w:r>
      <w:r>
        <w:t>оквартирных домах и жилых домов</w:t>
      </w:r>
      <w:r w:rsidRPr="006934E0">
        <w:t>, утвержденны</w:t>
      </w:r>
      <w:r>
        <w:t>х</w:t>
      </w:r>
      <w:r w:rsidRPr="006934E0">
        <w:t xml:space="preserve"> Постановлением Правительства РФ от 06.05.2011 №354</w:t>
      </w:r>
      <w:r>
        <w:t xml:space="preserve"> (далее – Правила предоставления коммунальных услуг))</w:t>
      </w:r>
    </w:p>
    <w:p w:rsidR="006934E0" w:rsidRDefault="006934E0" w:rsidP="002F73C7">
      <w:pPr>
        <w:spacing w:before="120" w:after="120"/>
      </w:pPr>
      <w:r w:rsidRPr="00965BED">
        <w:t xml:space="preserve">Нарушение </w:t>
      </w:r>
      <w:r>
        <w:t>следующих показателей:</w:t>
      </w:r>
    </w:p>
    <w:p w:rsidR="006934E0" w:rsidRDefault="006934E0" w:rsidP="002F73C7">
      <w:pPr>
        <w:pStyle w:val="a3"/>
        <w:numPr>
          <w:ilvl w:val="0"/>
          <w:numId w:val="1"/>
        </w:numPr>
        <w:spacing w:before="120" w:after="120"/>
        <w:contextualSpacing w:val="0"/>
      </w:pPr>
      <w: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6934E0" w:rsidRDefault="006934E0" w:rsidP="002F73C7">
      <w:pPr>
        <w:pStyle w:val="a3"/>
        <w:numPr>
          <w:ilvl w:val="0"/>
          <w:numId w:val="1"/>
        </w:numPr>
        <w:spacing w:before="120" w:after="120"/>
        <w:contextualSpacing w:val="0"/>
      </w:pPr>
      <w: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значениями, определенными Правилами предоставления доступа к минимальному набору функций интеллектуальных систем учета электрической энергии (мощности);</w:t>
      </w:r>
    </w:p>
    <w:p w:rsidR="006934E0" w:rsidRDefault="006934E0" w:rsidP="002F73C7">
      <w:pPr>
        <w:pStyle w:val="a3"/>
        <w:numPr>
          <w:ilvl w:val="0"/>
          <w:numId w:val="1"/>
        </w:numPr>
        <w:spacing w:before="120" w:after="120"/>
        <w:contextualSpacing w:val="0"/>
      </w:pPr>
      <w: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</w:t>
      </w:r>
    </w:p>
    <w:p w:rsidR="006934E0" w:rsidRDefault="006934E0" w:rsidP="002F73C7">
      <w:pPr>
        <w:spacing w:before="120" w:after="120"/>
      </w:pPr>
      <w:r w:rsidRPr="00965BED">
        <w:t>признается несанкционированным вмешательством в работу прибора учета. При обнаружении в ходе проверки указанных нарушений исполнитель</w:t>
      </w:r>
      <w:r>
        <w:t xml:space="preserve"> коммунальной услуги</w:t>
      </w:r>
      <w:r w:rsidRPr="00965BED">
        <w:t xml:space="preserve">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</w:t>
      </w:r>
      <w:r w:rsidRPr="00965BED">
        <w:lastRenderedPageBreak/>
        <w:t>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C227CD" w:rsidRDefault="00C227CD" w:rsidP="002F73C7">
      <w:pPr>
        <w:spacing w:before="120" w:after="120"/>
      </w:pPr>
      <w:r w:rsidRPr="00C227CD">
        <w:rPr>
          <w:b/>
        </w:rPr>
        <w:t>Исполнител</w:t>
      </w:r>
      <w:r>
        <w:rPr>
          <w:b/>
        </w:rPr>
        <w:t>и</w:t>
      </w:r>
      <w:r w:rsidRPr="00C227CD">
        <w:rPr>
          <w:b/>
        </w:rPr>
        <w:t xml:space="preserve"> коммунальн</w:t>
      </w:r>
      <w:r>
        <w:rPr>
          <w:b/>
        </w:rPr>
        <w:t>ых</w:t>
      </w:r>
      <w:r w:rsidRPr="00C227CD">
        <w:rPr>
          <w:b/>
        </w:rPr>
        <w:t xml:space="preserve"> услуг</w:t>
      </w:r>
      <w:r w:rsidRPr="00C227CD">
        <w:t xml:space="preserve"> </w:t>
      </w:r>
      <w:r>
        <w:t>(</w:t>
      </w:r>
      <w:r w:rsidRPr="00C227CD">
        <w:t>в лице управляющей организации, товарищества собственников жилья, жилищного, жилищно-строительного или иного специализированного потребительского кооператива в целях оказания потребителям коммунальной услуги по электроснабжению</w:t>
      </w:r>
      <w:r>
        <w:t>):</w:t>
      </w:r>
    </w:p>
    <w:p w:rsidR="00C227CD" w:rsidRDefault="00C227CD" w:rsidP="002F73C7">
      <w:pPr>
        <w:spacing w:before="120" w:after="120"/>
      </w:pPr>
      <w:r>
        <w:t>(подпункт «з» п. 21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№124)</w:t>
      </w:r>
    </w:p>
    <w:p w:rsidR="00C227CD" w:rsidRPr="009106D4" w:rsidRDefault="00C227CD" w:rsidP="002F73C7">
      <w:pPr>
        <w:spacing w:before="120" w:after="120"/>
      </w:pPr>
      <w:r w:rsidRPr="00C227CD">
        <w:t xml:space="preserve">в случае вмешательства в работу коллективного (общедомового) прибора учета электрической энергии и (или) компонентов интеллектуальной системы учета электрической энергии (мощности), необеспечения сохранности пломб, знаков визуального контроля (при их наличии), установленных в отношении такого прибора учета, либо при двукратном недопуске представителей гарантирующего поставщика для установки, замены, допуска к эксплуатации и (или) подключения коллективного (общедомового) прибора учета электрической энергии к интеллектуальной системе учета электрической энергии (мощности) объем электрической энергии, поставляемой за расчетный период (расчетный месяц) в многоквартирный дом, определяется в соответствии с пунктом "в" настоящего пункта, где </w:t>
      </w:r>
      <w:proofErr w:type="spellStart"/>
      <w:r w:rsidRPr="00C227CD">
        <w:t>Vнодн</w:t>
      </w:r>
      <w:proofErr w:type="spellEnd"/>
      <w:r w:rsidRPr="00C227CD">
        <w:t xml:space="preserve">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коэффициента, равного 1,5. Определение объема электрической энергии в указанном порядке осуществляется начиная с расчетного месяца, в котором произошел второй недопуск гарантирующего поставщика для установки, замены, допуска к эксплуатации и (или) подключения коллективного (общедомового) прибора учета электрической энергии к интеллектуальной системе учета электрической энергии (мощности), до расчетного месяца, в котором гарантирующий поставщик был допущен к совершению указанных действий.</w:t>
      </w:r>
    </w:p>
    <w:sectPr w:rsidR="00C227CD" w:rsidRPr="009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33B5"/>
    <w:multiLevelType w:val="hybridMultilevel"/>
    <w:tmpl w:val="D33670DE"/>
    <w:lvl w:ilvl="0" w:tplc="B9847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23"/>
    <w:rsid w:val="001B6945"/>
    <w:rsid w:val="002F73C7"/>
    <w:rsid w:val="004011CB"/>
    <w:rsid w:val="00467030"/>
    <w:rsid w:val="00481123"/>
    <w:rsid w:val="004B5CB6"/>
    <w:rsid w:val="00547EAD"/>
    <w:rsid w:val="005960B4"/>
    <w:rsid w:val="0068086F"/>
    <w:rsid w:val="006934E0"/>
    <w:rsid w:val="00781937"/>
    <w:rsid w:val="0080148E"/>
    <w:rsid w:val="00842705"/>
    <w:rsid w:val="009106D4"/>
    <w:rsid w:val="00965BED"/>
    <w:rsid w:val="00AC68EF"/>
    <w:rsid w:val="00B557AB"/>
    <w:rsid w:val="00B7196B"/>
    <w:rsid w:val="00C050B9"/>
    <w:rsid w:val="00C227CD"/>
    <w:rsid w:val="00C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048E-520A-4E51-B995-2393AE3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18</cp:revision>
  <dcterms:created xsi:type="dcterms:W3CDTF">2023-06-14T10:34:00Z</dcterms:created>
  <dcterms:modified xsi:type="dcterms:W3CDTF">2023-06-15T13:14:00Z</dcterms:modified>
</cp:coreProperties>
</file>